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t>Case Screening Summary</w:t>
      </w:r>
    </w:p>
    <w:p>
      <w:r>
        <w:rPr>
          <w:sz w:val="22"/>
        </w:rPr>
        <w:t xml:space="preserve">Total cases screened: 1 | Passed pre-screen: 1 | Used in final output: 0</w:t>
      </w:r>
    </w:p>
    <w:p/>
    <w:tbl>
      <w:tblPr>
        <w:tblW w:w="136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/>
      </w:tblPr>
      <w:tblGrid>
        <w:gridCol w:w="2800"/>
        <w:gridCol w:w="1600"/>
        <w:gridCol w:w="1400"/>
        <w:gridCol w:w="5480"/>
        <w:gridCol w:w="2400"/>
      </w:tblGrid>
      <w:tr>
        <w:tc>
          <w:tcPr>
            <w:shd w:val="clear" w:color="auto" w:fill="2E75B6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Case Name</w:t>
            </w:r>
          </w:p>
        </w:tc>
        <w:tc>
          <w:tcPr>
            <w:shd w:val="clear" w:color="auto" w:fill="2E75B6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Citation</w:t>
            </w:r>
          </w:p>
        </w:tc>
        <w:tc>
          <w:tcPr>
            <w:shd w:val="clear" w:color="auto" w:fill="2E75B6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Passed Pre-Screen</w:t>
            </w:r>
          </w:p>
        </w:tc>
        <w:tc>
          <w:tcPr>
            <w:shd w:val="clear" w:color="auto" w:fill="2E75B6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Reasoning</w:t>
            </w:r>
          </w:p>
        </w:tc>
        <w:tc>
          <w:tcPr>
            <w:shd w:val="clear" w:color="auto" w:fill="2E75B6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Used in Final Output</w:t>
            </w:r>
          </w:p>
        </w:tc>
      </w:tr>
      <w:tr>
        <w:tc>
          <w:tcPr>
            <w:shd w:val="clear" w:color="auto" w:fill="FFFFFF"/>
          </w:tcPr>
          <w:p>
            <w:r>
              <w:rPr>
                <w:i/>
                <w:sz w:val="22"/>
              </w:rPr>
              <w:t xml:space="preserve">The Corporations Act, CCSM c C225</w:t>
            </w:r>
          </w:p>
        </w:tc>
        <w:tc>
          <w:tcPr>
            <w:shd w:val="clear" w:color="auto" w:fill="FFFFFF"/>
          </w:tcPr>
          <w:p>
            <w:hyperlink r:id="rId10" w:history="1">
              <w:r>
                <w:rPr>
                  <w:color w:val="0563C1"/>
                  <w:u w:val="single"/>
                  <w:sz w:val="22"/>
                </w:rPr>
                <w:t xml:space="preserve">The Corporations Act, CCSM c C225</w:t>
              </w:r>
            </w:hyperlink>
          </w:p>
        </w:tc>
        <w:tc>
          <w:tcPr>
            <w:shd w:val="clear" w:color="auto" w:fill="FFFFFF"/>
          </w:tcPr>
          <w:p>
            <w:r>
              <w:rPr>
                <w:sz w:val="22"/>
              </w:rPr>
              <w:t xml:space="preserve">Yes</w:t>
            </w:r>
          </w:p>
        </w:tc>
        <w:tc>
          <w:tcPr>
            <w:shd w:val="clear" w:color="auto" w:fill="FFFFFF"/>
          </w:tcPr>
          <w:p>
            <w:r>
              <w:rPr>
                <w:sz w:val="22"/>
              </w:rPr>
              <w:t xml:space="preserve"/>
            </w:r>
          </w:p>
        </w:tc>
        <w:tc>
          <w:tcPr>
            <w:shd w:val="clear" w:color="auto" w:fill="FFFFFF"/>
          </w:tcPr>
          <w:p>
            <w:r>
              <w:rPr>
                <w:sz w:val="22"/>
              </w:rPr>
              <w:t xml:space="preserve">No</w:t>
            </w:r>
          </w:p>
        </w:tc>
      </w:tr>
    </w:tbl>
    <w:sectPr>
      <w:pgSz w:w="15840" w:h="12240" w:orient="landscape"/>
      <w:pgMar w:top="1080" w:right="1080" w:bottom="1080" w:left="108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2"/>
        <w:szCs w:val="22"/>
      </w:rPr>
    </w:rPrDefault>
  </w:docDefaults>
  <w:style w:type="paragraph" w:styleId="Heading1">
    <w:name w:val="heading 1"/>
    <w:pPr>
      <w:spacing w:before="360" w:after="120"/>
      <w:outlineLvl w:val="0"/>
    </w:pPr>
    <w:rPr>
      <w:b/>
      <w:sz w:val="3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hyperlink" Target="https://www.canlii.org/en/mb/laws/stat/ccsm-c-c225/latest/ccsm-c-c225.html" TargetMode="External"/></Relationships>
</file>